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5664"/>
        <w:rPr>
          <w:rFonts w:ascii="Verdana" w:hAnsi="Verdana"/>
        </w:rPr>
      </w:pPr>
      <w:r>
        <w:rPr>
          <w:rFonts w:ascii="Verdana" w:hAnsi="Verdana"/>
        </w:rPr>
        <w:tab/>
        <w:t>DATE : 12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SECONDAIRE ORDINAIRE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rPr>
          <w:rStyle w:val="LienInternet"/>
          <w:rFonts w:ascii="Verdana" w:hAnsi="Verdana"/>
        </w:rP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u w:val="single"/>
        </w:rPr>
        <w:t xml:space="preserve">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Athénée royal Liège Atlas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Quai St Léonard, 80 à 4000 Liège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Site web : </w:t>
      </w:r>
      <w:hyperlink r:id="rId10" w:history="1">
        <w:r>
          <w:rPr>
            <w:rStyle w:val="Lienhypertexte"/>
            <w:rFonts w:ascii="Verdana" w:hAnsi="Verdana"/>
          </w:rPr>
          <w:t>www.liegeatlas.be</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février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L’Athénée royal Liège Atlas est une école secondaire urbaine sans section fondamentale annexée qui propose un enseignement général, technique, professionnel et un internat annexé.</w:t>
      </w:r>
      <w:r>
        <w:rPr>
          <w:rFonts w:ascii="Verdana" w:hAnsi="Verdana"/>
        </w:rPr>
        <w:br/>
        <w:t>Site Premier</w:t>
      </w:r>
      <w:r>
        <w:rPr>
          <w:rFonts w:ascii="Verdana" w:hAnsi="Verdana"/>
        </w:rPr>
        <w:tab/>
        <w:t>+ internat : Quai St Léonard, 80. 4000 Liège</w:t>
      </w:r>
      <w:r>
        <w:rPr>
          <w:rFonts w:ascii="Verdana" w:hAnsi="Verdana"/>
        </w:rPr>
        <w:tab/>
      </w:r>
      <w:r>
        <w:rPr>
          <w:rFonts w:ascii="Verdana" w:hAnsi="Verdana"/>
        </w:rPr>
        <w:tab/>
      </w:r>
      <w:r>
        <w:rPr>
          <w:rFonts w:ascii="Verdana" w:hAnsi="Verdana"/>
        </w:rPr>
        <w:br/>
        <w:t>Site Deuxième : Rue du Bois-de-Breux, 275. 4020 Jupille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Elle comporte deux sites principaux où se répartissent : un premier degré commun, un premier degré différencié, un enseignement général, un enseignement technique de transition, technique de qualification et professionnel de qualification aux 2ème et 3ème degrés ainsi qu’une 7TQ Métiers de la Prévention et de la Sécurité.</w:t>
      </w:r>
      <w:r>
        <w:rPr>
          <w:rFonts w:ascii="Verdana" w:hAnsi="Verdana"/>
        </w:rPr>
        <w:tab/>
      </w:r>
      <w:r>
        <w:rPr>
          <w:rFonts w:ascii="Verdana" w:hAnsi="Verdana"/>
        </w:rPr>
        <w:br/>
        <w:t>L’enseignement général organise des options scientifiques, sciences humaines, sportives (sport-étude basket et hockey sur glace), langues modernes (A/D/N/E) et une option préparant aux examens d’entrée des métiers de la défense.</w:t>
      </w:r>
      <w:r>
        <w:rPr>
          <w:rFonts w:ascii="Verdana" w:hAnsi="Verdana"/>
        </w:rPr>
        <w:tab/>
      </w:r>
      <w:r>
        <w:rPr>
          <w:rFonts w:ascii="Verdana" w:hAnsi="Verdana"/>
        </w:rPr>
        <w:br/>
        <w:t>L’enseignement technique de qualification organise les options : gestion, technicien en comptabilité, technique sociale et animation variante B, animateur/animatrice, assistant aux métiers de la prévention et de la sécurité.</w:t>
      </w:r>
      <w:r>
        <w:rPr>
          <w:rFonts w:ascii="Verdana" w:hAnsi="Verdana"/>
        </w:rPr>
        <w:tab/>
      </w:r>
      <w:r>
        <w:rPr>
          <w:rFonts w:ascii="Verdana" w:hAnsi="Verdana"/>
        </w:rPr>
        <w:br/>
        <w:t>L’enseignement professionnel de qualification organise les options cuisine-salle, cuisinier/cuisinière de collectivités ; traiteur-organisateur/trice de banquets.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Encadrement :</w:t>
      </w:r>
      <w:r>
        <w:rPr>
          <w:rFonts w:ascii="Verdana" w:hAnsi="Verdana"/>
        </w:rPr>
        <w:t xml:space="preserve"> </w:t>
      </w:r>
      <w:r>
        <w:rPr>
          <w:rFonts w:ascii="Verdana" w:hAnsi="Verdana"/>
        </w:rPr>
        <w:tab/>
      </w:r>
      <w:r>
        <w:rPr>
          <w:rFonts w:ascii="Verdana" w:hAnsi="Verdana"/>
        </w:rPr>
        <w:br/>
        <w:t>Le staff de direction est composé, outre le directeur (H/F/X), d’un administrateur d’internat, d’un chef d’atelier, de deux directeurs (H/F/X) adjoints et d’un secrétaire de direction</w:t>
      </w:r>
      <w:r>
        <w:rPr>
          <w:rFonts w:ascii="Verdana" w:hAnsi="Verdana"/>
        </w:rPr>
        <w:br/>
        <w:t>Le personnel d’encadrement est composé de 164 professeurs, 3 ¼ APE, 28 personnels ouvriers, 9 éducateurs externes, 8 éducateurs internes, 3 membres du personnels administratifs (comptable, rédactrice, commis).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Infrastructure de l’établissement</w:t>
      </w:r>
      <w:r>
        <w:rPr>
          <w:rFonts w:ascii="Verdana" w:hAnsi="Verdana"/>
        </w:rPr>
        <w:t> :</w:t>
      </w:r>
      <w:r>
        <w:rPr>
          <w:rFonts w:ascii="Verdana" w:hAnsi="Verdana"/>
        </w:rPr>
        <w:tab/>
      </w:r>
      <w:r>
        <w:rPr>
          <w:rFonts w:ascii="Verdana" w:hAnsi="Verdana"/>
        </w:rPr>
        <w:br/>
        <w:t>L’établissement possède une série d’infrastructures pédagogiques et sportives, à titre d’exemple : un local de dessin, un théâtre, une piscine, un terrain synthétique de football, un terrain de basket extérieur, une piste d’athlétisme, etc ; certains bâtiments de l’implantation de Jupille nécessitant une réfection devront faire l’objet d’une attention particulière en collaboration avec le Service Général des Infrastructures FWB.</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Population scolaire</w:t>
      </w:r>
      <w:r>
        <w:rPr>
          <w:rFonts w:ascii="Verdana" w:hAnsi="Verdana"/>
        </w:rPr>
        <w:t>.</w:t>
      </w:r>
      <w:r>
        <w:rPr>
          <w:rFonts w:ascii="Verdana" w:hAnsi="Verdana"/>
        </w:rPr>
        <w:tab/>
      </w:r>
      <w:r>
        <w:rPr>
          <w:rFonts w:ascii="Verdana" w:hAnsi="Verdana"/>
        </w:rPr>
        <w:br/>
        <w:t xml:space="preserve">L’Athénée accueille une population multiculturelle d’environ 1383 élèves avec un indice socioéconomique faible.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pédagogiques</w:t>
      </w:r>
      <w:r>
        <w:rPr>
          <w:rFonts w:ascii="Verdana" w:hAnsi="Verdana"/>
        </w:rPr>
        <w:t xml:space="preserve">. </w:t>
      </w:r>
      <w:r>
        <w:rPr>
          <w:rFonts w:ascii="Verdana" w:hAnsi="Verdana"/>
        </w:rPr>
        <w:tab/>
      </w:r>
      <w:r>
        <w:rPr>
          <w:rFonts w:ascii="Verdana" w:hAnsi="Verdana"/>
        </w:rPr>
        <w:br/>
        <w:t xml:space="preserve">L’Athénée est amené à rédiger son Plan de Pilotage dans le cadre de la vague 3. Le projet d’école doit également être mis à jour. </w:t>
      </w:r>
    </w:p>
    <w:p>
      <w:pPr>
        <w:pBdr>
          <w:top w:val="single" w:sz="4" w:space="1" w:color="000000"/>
          <w:left w:val="single" w:sz="4" w:space="4" w:color="000000"/>
          <w:bottom w:val="single" w:sz="4" w:space="1" w:color="000000"/>
          <w:right w:val="single" w:sz="4" w:space="4" w:color="000000"/>
        </w:pBdr>
        <w:jc w:val="both"/>
        <w:rPr>
          <w:rFonts w:ascii="Verdana" w:hAnsi="Verdana"/>
          <w:highlight w:val="green"/>
        </w:rPr>
      </w:pPr>
      <w:r>
        <w:rPr>
          <w:rFonts w:ascii="Verdana" w:hAnsi="Verdana"/>
        </w:rPr>
        <w:t>Dans le cadre de l’implémentation du numérique, la plupart des classes sont équipées de TBI ; tous les élèves et les membres du personnel disposent d’une adresse mail professionnelle leur donnant accès à différentes plateformes Office 365, Edmodo, etc.</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r>
        <w:rPr>
          <w:rFonts w:ascii="Verdana" w:hAnsi="Verdana" w:cs="Arial"/>
          <w:bCs/>
          <w:color w:val="000000" w:themeColor="text1"/>
        </w:rPr>
        <w:t xml:space="preserve"> </w:t>
      </w:r>
      <w:r>
        <w:rPr>
          <w:rFonts w:ascii="Verdana" w:hAnsi="Verdana"/>
        </w:rPr>
        <w:t>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 xml:space="preserve">Mr ANGENOT Jean-François. Fonction : Préfet coordonnateur zone de Liège. </w:t>
      </w:r>
      <w:r>
        <w:rPr>
          <w:rFonts w:ascii="Verdana" w:hAnsi="Verdana"/>
        </w:rPr>
        <w:br/>
        <w:t>Email : jean-francois.angenot(at)cfwb.be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color w:val="000000" w:themeColor="text1"/>
        </w:rPr>
        <w:t>Les membres du personnel exerçant leurs fonctions au sein de WBE.</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 le 02 décembre 2020 (inclus).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1">
        <w:r>
          <w:rPr>
            <w:rStyle w:val="LienInternet"/>
            <w:rFonts w:ascii="Verdana" w:hAnsi="Verdana"/>
          </w:rPr>
          <w:t>selection.promotion(at)w-b-e.be</w:t>
        </w:r>
      </w:hyperlink>
      <w:r>
        <w:rPr>
          <w:rFonts w:ascii="Verdana" w:hAnsi="Verdana"/>
        </w:rPr>
        <w:br/>
        <w:t>Objet : WBE CE 2020 007</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la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Direction des ressources humaines : Service sélection et promotion de l’enseignement. </w:t>
      </w:r>
      <w:r>
        <w:rPr>
          <w:rFonts w:ascii="Verdana" w:hAnsi="Verdana"/>
        </w:rPr>
        <w:br/>
        <w:t>Wallonie 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complété pour  la fonction à pourvoir (voir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 (H/F/X) sera jointe au dossier de candidature. Celles-ci seront considérées comme des atouts.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rPr>
      </w:pP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xml:space="preserve">- Annexe 3 : Formulaire de candidatures ((disponible en version électronique sur notre site internet : </w:t>
      </w:r>
      <w:hyperlink r:id="rId12" w:history="1">
        <w:r>
          <w:rPr>
            <w:rStyle w:val="Lienhypertexte"/>
            <w:rFonts w:ascii="Verdana" w:hAnsi="Verdana"/>
          </w:rPr>
          <w:t>https://www.w-b-e.be/jobs-carriere/evolution-de-carriere/emplois-vacants/</w:t>
        </w:r>
      </w:hyperlink>
      <w:r>
        <w:rPr>
          <w:rFonts w:ascii="Verdana" w:hAnsi="Verdana"/>
        </w:rPr>
        <w:t xml:space="preserve">  et à joindre dans votre candidature).</w:t>
      </w:r>
    </w:p>
    <w:p>
      <w:pPr>
        <w:spacing w:after="160" w:line="259" w:lineRule="auto"/>
        <w:rPr>
          <w:rFonts w:ascii="Verdana" w:hAnsi="Verdana"/>
          <w:b/>
        </w:rPr>
      </w:pPr>
      <w:r>
        <w:br w:type="page"/>
      </w: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Athénée royal Liège Atlas</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 (H/F/X).</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11 décembre, une convocation sera envoyée aux candidats retenus après le 4 décembre.</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3">
        <w:r>
          <w:rPr>
            <w:rStyle w:val="LienInternet"/>
            <w:rFonts w:ascii="Verdana" w:hAnsi="Verdana"/>
          </w:rPr>
          <w:t>selection.promotion(at)w-b-e.be</w:t>
        </w:r>
      </w:hyperlink>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4"/>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Secondaire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Athénée royal Liège Atlas</w:t>
      </w:r>
    </w:p>
    <w:p>
      <w:pPr>
        <w:spacing w:after="0" w:line="240" w:lineRule="auto"/>
        <w:ind w:firstLine="426"/>
        <w:rPr>
          <w:rFonts w:ascii="Calibri Light" w:eastAsia="Times New Roman" w:hAnsi="Calibri Light" w:cs="Calibri Light"/>
          <w:b/>
          <w:sz w:val="36"/>
          <w:szCs w:val="24"/>
          <w:highlight w:val="yellow"/>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5"/>
          <w:headerReference w:type="first" r:id="rId16"/>
          <w:footerReference w:type="first" r:id="rId17"/>
          <w:pgSz w:w="11906" w:h="16838"/>
          <w:pgMar w:top="1701" w:right="1134" w:bottom="1134" w:left="1134"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 xml:space="preserve"> WBE CE 2020 007</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Le directeur</w:t>
      </w:r>
      <w:r>
        <w:rPr>
          <w:rFonts w:eastAsia="Times New Roman" w:cs="Times New Roman"/>
          <w:color w:val="000000"/>
          <w:sz w:val="16"/>
          <w:lang w:eastAsia="fr-FR"/>
        </w:rPr>
        <w:t xml:space="preserve"> (H/F/X)</w:t>
      </w:r>
      <w:r>
        <w:rPr>
          <w:rFonts w:eastAsia="Times New Roman" w:cs="Times New Roman"/>
          <w:color w:val="000000"/>
          <w:lang w:eastAsia="fr-FR"/>
        </w:rPr>
        <w:t xml:space="preserve">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pour l’Athénée royal Liège Atlas :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Créer une identité commune aux deux sites en travaillant sur le sentiment d’appartenance.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Permettre la valorisation de toutes les sections et accorder un intérêt égal aux élèves engagés dans les différentes formations. </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d’école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(H/F/X) veille, le cas échéant, à la bonne organisation des organes locaux de concertation sociale légaux et conventionnels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pour l’Athénée royal Liège Atlas :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Répartir son temps équitablement entre les 2 implantations.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Conforter le sentiment de sécurité existant.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Entretenir et intensifier les collaborations avec les partenaires externes entre autre liés aux sports (basket, club natation, …).</w:t>
      </w:r>
    </w:p>
    <w:tbl>
      <w:tblPr>
        <w:tblpPr w:leftFromText="141" w:rightFromText="141" w:vertAnchor="text" w:horzAnchor="margin" w:tblpY="-1111"/>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pour l’Athénée royal Liège Atlas : </w:t>
      </w:r>
    </w:p>
    <w:p>
      <w:pPr>
        <w:tabs>
          <w:tab w:val="left" w:pos="1985"/>
        </w:tabs>
        <w:spacing w:after="0" w:line="240" w:lineRule="auto"/>
        <w:ind w:left="-70"/>
        <w:jc w:val="both"/>
      </w:pPr>
      <w:r>
        <w:t xml:space="preserve">Favoriser la collaboration et l’interaction entre les membres du personnel de l’internat et de l’externat. </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Organiser de manière efficiente l’information sur les initiatives pédagogiques &amp; éducatives, les divers projets et activités scolaires et parascolaires entre les deux sites.</w:t>
      </w:r>
    </w:p>
    <w:p>
      <w:pPr>
        <w:tabs>
          <w:tab w:val="left" w:pos="1985"/>
        </w:tabs>
        <w:spacing w:after="0" w:line="240" w:lineRule="auto"/>
        <w:ind w:left="-70"/>
        <w:jc w:val="both"/>
      </w:pPr>
      <w:r>
        <w:tab/>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tbl>
      <w:tblPr>
        <w:tblpPr w:leftFromText="141" w:rightFromText="141" w:vertAnchor="text" w:horzAnchor="margin" w:tblpXSpec="center" w:tblpY="-571"/>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i/>
          <w:sz w:val="24"/>
          <w:highlight w:val="green"/>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spécifiques pour l’Athénée royal Liège Atlas : </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Organiser de manière efficiente l’information sur les initiatives pédagogiques &amp; éducatives, les divers projets et activités scolaires et parascolaires entre les deux sites.</w:t>
      </w: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tbl>
      <w:tblPr>
        <w:tblpPr w:leftFromText="141" w:rightFromText="141" w:vertAnchor="text" w:horzAnchor="margin" w:tblpY="-9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w:t>
            </w:r>
            <w:bookmarkStart w:id="19" w:name="__UnoMark__749_2749759877"/>
            <w:bookmarkEnd w:id="19"/>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En 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Start w:id="25" w:name="__UnoMark__755_2749759877"/>
            <w:bookmarkEnd w:id="24"/>
            <w:bookmarkEnd w:id="25"/>
            <w:r>
              <w:rPr>
                <w:rFonts w:eastAsia="Times New Roman" w:cs="Calibri"/>
                <w:lang w:eastAsia="fr-FR"/>
              </w:rPr>
              <w:t>À terme</w:t>
            </w:r>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Pédagogie</w:t>
            </w:r>
            <w:bookmarkStart w:id="35" w:name="__UnoMark__765_2749759877"/>
            <w:bookmarkEnd w:id="35"/>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lang w:eastAsia="fr-FR"/>
              </w:rPr>
              <w:t>Être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lang w:eastAsia="fr-FR"/>
              </w:rPr>
              <w:t>Être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lang w:eastAsia="fr-FR"/>
              </w:rPr>
              <w:t xml:space="preserve">Avoir des compétences de gestion des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8"/>
          <w:footerReference w:type="default" r:id="rId19"/>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En 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À terme</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r>
              <w:rPr>
                <w:rFonts w:eastAsia="Times New Roman" w:cs="Calibri"/>
                <w:lang w:eastAsia="fr-FR"/>
              </w:rPr>
              <w:br/>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p>
            <w:pPr>
              <w:tabs>
                <w:tab w:val="left" w:pos="1985"/>
              </w:tabs>
              <w:spacing w:after="0" w:line="240" w:lineRule="auto"/>
              <w:jc w:val="center"/>
              <w:rPr>
                <w:rFonts w:ascii="Calibri" w:eastAsia="Times New Roman" w:hAnsi="Calibri" w:cs="Calibri"/>
                <w:lang w:eastAsia="fr-FR"/>
              </w:rPr>
            </w:pP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r>
              <w:rPr>
                <w:rFonts w:eastAsia="Times New Roman" w:cs="Calibri"/>
                <w:lang w:eastAsia="fr-FR"/>
              </w:rPr>
              <w:br/>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tbl>
      <w:tblPr>
        <w:tblpPr w:leftFromText="141" w:rightFromText="141" w:vertAnchor="page" w:horzAnchor="margin" w:tblpY="2245"/>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spacing w:after="160" w:line="259" w:lineRule="auto"/>
        <w:rPr>
          <w:rFonts w:cstheme="minorHAnsi"/>
        </w:rPr>
      </w:pPr>
      <w:r>
        <w:rPr>
          <w:rFonts w:cstheme="minorHAnsi"/>
        </w:rPr>
        <w:t xml:space="preserve"> Voici un récapitulatif des compétences qui seront investiguées à l’entretien: </w:t>
      </w:r>
    </w:p>
    <w:p>
      <w:pPr>
        <w:jc w:val="both"/>
        <w:rPr>
          <w:rFonts w:ascii="Verdana" w:hAnsi="Verdana"/>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les équipes </w:t>
      </w:r>
      <w:r>
        <w:rPr>
          <w:rFonts w:eastAsia="Times New Roman"/>
          <w:lang w:eastAsia="fr-FR"/>
        </w:rPr>
        <w:t>».</w:t>
      </w:r>
      <w:r>
        <w:t>  Si pour cette partie, des personnes ont des points égaux, leur classement sera établi de manière aléatoire.</w:t>
      </w:r>
    </w:p>
    <w:p>
      <w:pPr>
        <w:jc w:val="both"/>
        <w:rPr>
          <w:rFonts w:ascii="Verdana" w:hAnsi="Verdana"/>
        </w:rPr>
      </w:pPr>
    </w:p>
    <w:sectPr>
      <w:headerReference w:type="default" r:id="rId20"/>
      <w:footerReference w:type="default" r:id="rId21"/>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0369103"/>
      <w:docPartObj>
        <w:docPartGallery w:val="Page Numbers (Bottom of Page)"/>
        <w:docPartUnique/>
      </w:docPartObj>
    </w:sdtPr>
    <w:sdtContent>
      <w:sdt>
        <w:sdtPr>
          <w:id w:val="-1769616900"/>
          <w:docPartObj>
            <w:docPartGallery w:val="Page Numbers (Top of Page)"/>
            <w:docPartUnique/>
          </w:docPartObj>
        </w:sdtPr>
        <w:sdtContent>
          <w:p>
            <w:pPr>
              <w:pStyle w:val="Pieddepage"/>
              <w:jc w:val="right"/>
            </w:pPr>
            <w:r>
              <w:rPr>
                <w:noProof/>
                <w:lang w:eastAsia="fr-BE"/>
              </w:rPr>
              <w:drawing>
                <wp:anchor distT="0" distB="0" distL="0" distR="0" simplePos="0" relativeHeight="251659264" behindDoc="1" locked="0" layoutInCell="1" allowOverlap="1">
                  <wp:simplePos x="0" y="0"/>
                  <wp:positionH relativeFrom="margin">
                    <wp:align>center</wp:align>
                  </wp:positionH>
                  <wp:positionV relativeFrom="paragraph">
                    <wp:posOffset>-274955</wp:posOffset>
                  </wp:positionV>
                  <wp:extent cx="593725" cy="672465"/>
                  <wp:effectExtent l="0" t="0" r="0" b="0"/>
                  <wp:wrapNone/>
                  <wp:docPr id="39"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7</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posOffset>2762885</wp:posOffset>
          </wp:positionH>
          <wp:positionV relativeFrom="paragraph">
            <wp:posOffset>-471170</wp:posOffset>
          </wp:positionV>
          <wp:extent cx="593725" cy="672465"/>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651251"/>
      <w:docPartObj>
        <w:docPartGallery w:val="Page Numbers (Bottom of Page)"/>
        <w:docPartUnique/>
      </w:docPartObj>
    </w:sdtPr>
    <w:sdtContent>
      <w:sdt>
        <w:sdtPr>
          <w:id w:val="667518609"/>
          <w:docPartObj>
            <w:docPartGallery w:val="Page Numbers (Top of Page)"/>
            <w:docPartUnique/>
          </w:docPartObj>
        </w:sdtPr>
        <w:sdtContent>
          <w:p>
            <w:pPr>
              <w:pStyle w:val="Pieddepage"/>
              <w:jc w:val="right"/>
            </w:pPr>
            <w:r>
              <w:rPr>
                <w:noProof/>
                <w:lang w:eastAsia="fr-BE"/>
              </w:rPr>
              <w:drawing>
                <wp:anchor distT="0" distB="0" distL="0" distR="0" simplePos="0" relativeHeight="251661312" behindDoc="1" locked="0" layoutInCell="1" allowOverlap="1">
                  <wp:simplePos x="0" y="0"/>
                  <wp:positionH relativeFrom="margin">
                    <wp:align>center</wp:align>
                  </wp:positionH>
                  <wp:positionV relativeFrom="paragraph">
                    <wp:posOffset>-564515</wp:posOffset>
                  </wp:positionV>
                  <wp:extent cx="593725" cy="672465"/>
                  <wp:effectExtent l="0" t="0" r="0" b="0"/>
                  <wp:wrapNone/>
                  <wp:docPr id="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14</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515935"/>
      <w:docPartObj>
        <w:docPartGallery w:val="Page Numbers (Bottom of Page)"/>
        <w:docPartUnique/>
      </w:docPartObj>
    </w:sdtPr>
    <w:sdtContent>
      <w:sdt>
        <w:sdtPr>
          <w:id w:val="1037856341"/>
          <w:docPartObj>
            <w:docPartGallery w:val="Page Numbers (Top of Page)"/>
            <w:docPartUnique/>
          </w:docPartObj>
        </w:sdtPr>
        <w:sdtContent>
          <w:p>
            <w:pPr>
              <w:pStyle w:val="Pieddepage"/>
              <w:jc w:val="right"/>
            </w:pPr>
            <w:r>
              <w:rPr>
                <w:noProof/>
                <w:lang w:eastAsia="fr-BE"/>
              </w:rPr>
              <w:drawing>
                <wp:anchor distT="0" distB="0" distL="0" distR="0" simplePos="0" relativeHeight="251663360" behindDoc="1" locked="0" layoutInCell="1" allowOverlap="1">
                  <wp:simplePos x="0" y="0"/>
                  <wp:positionH relativeFrom="margin">
                    <wp:align>center</wp:align>
                  </wp:positionH>
                  <wp:positionV relativeFrom="paragraph">
                    <wp:posOffset>-424180</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16</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13C2A"/>
    <w:multiLevelType w:val="hybridMultilevel"/>
    <w:tmpl w:val="B142B0FC"/>
    <w:lvl w:ilvl="0" w:tplc="09C88292">
      <w:start w:val="135"/>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2"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paragraph" w:styleId="R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10886">
      <w:bodyDiv w:val="1"/>
      <w:marLeft w:val="0"/>
      <w:marRight w:val="0"/>
      <w:marTop w:val="0"/>
      <w:marBottom w:val="0"/>
      <w:divBdr>
        <w:top w:val="none" w:sz="0" w:space="0" w:color="auto"/>
        <w:left w:val="none" w:sz="0" w:space="0" w:color="auto"/>
        <w:bottom w:val="none" w:sz="0" w:space="0" w:color="auto"/>
        <w:right w:val="none" w:sz="0" w:space="0" w:color="auto"/>
      </w:divBdr>
    </w:div>
    <w:div w:id="570385094">
      <w:bodyDiv w:val="1"/>
      <w:marLeft w:val="0"/>
      <w:marRight w:val="0"/>
      <w:marTop w:val="0"/>
      <w:marBottom w:val="0"/>
      <w:divBdr>
        <w:top w:val="none" w:sz="0" w:space="0" w:color="auto"/>
        <w:left w:val="none" w:sz="0" w:space="0" w:color="auto"/>
        <w:bottom w:val="none" w:sz="0" w:space="0" w:color="auto"/>
        <w:right w:val="none" w:sz="0" w:space="0" w:color="auto"/>
      </w:divBdr>
    </w:div>
    <w:div w:id="634455490">
      <w:bodyDiv w:val="1"/>
      <w:marLeft w:val="0"/>
      <w:marRight w:val="0"/>
      <w:marTop w:val="0"/>
      <w:marBottom w:val="0"/>
      <w:divBdr>
        <w:top w:val="none" w:sz="0" w:space="0" w:color="auto"/>
        <w:left w:val="none" w:sz="0" w:space="0" w:color="auto"/>
        <w:bottom w:val="none" w:sz="0" w:space="0" w:color="auto"/>
        <w:right w:val="none" w:sz="0" w:space="0" w:color="auto"/>
      </w:divBdr>
    </w:div>
    <w:div w:id="1026835991">
      <w:bodyDiv w:val="1"/>
      <w:marLeft w:val="0"/>
      <w:marRight w:val="0"/>
      <w:marTop w:val="0"/>
      <w:marBottom w:val="0"/>
      <w:divBdr>
        <w:top w:val="none" w:sz="0" w:space="0" w:color="auto"/>
        <w:left w:val="none" w:sz="0" w:space="0" w:color="auto"/>
        <w:bottom w:val="none" w:sz="0" w:space="0" w:color="auto"/>
        <w:right w:val="none" w:sz="0" w:space="0" w:color="auto"/>
      </w:divBdr>
    </w:div>
    <w:div w:id="1126236406">
      <w:bodyDiv w:val="1"/>
      <w:marLeft w:val="0"/>
      <w:marRight w:val="0"/>
      <w:marTop w:val="0"/>
      <w:marBottom w:val="0"/>
      <w:divBdr>
        <w:top w:val="none" w:sz="0" w:space="0" w:color="auto"/>
        <w:left w:val="none" w:sz="0" w:space="0" w:color="auto"/>
        <w:bottom w:val="none" w:sz="0" w:space="0" w:color="auto"/>
        <w:right w:val="none" w:sz="0" w:space="0" w:color="auto"/>
      </w:divBdr>
    </w:div>
    <w:div w:id="1477798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lection.promotion@w-b-e.b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liegeatlas.be"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image" Target="media/image1.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C0CD7F-6452-476C-AB92-6D4B54FB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4286</Words>
  <Characters>23573</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ETNIC</cp:lastModifiedBy>
  <cp:revision>2</cp:revision>
  <cp:lastPrinted>2020-11-12T13:21:00Z</cp:lastPrinted>
  <dcterms:created xsi:type="dcterms:W3CDTF">2020-11-13T10:08:00Z</dcterms:created>
  <dcterms:modified xsi:type="dcterms:W3CDTF">2020-11-13T10:08:00Z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